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A4" w:rsidRPr="00E11E47" w:rsidRDefault="00527674">
      <w:pPr>
        <w:pStyle w:val="2"/>
        <w:jc w:val="center"/>
        <w:rPr>
          <w:rFonts w:asciiTheme="majorEastAsia" w:eastAsiaTheme="majorEastAsia" w:hAnsiTheme="majorEastAsia"/>
        </w:rPr>
      </w:pPr>
      <w:r w:rsidRPr="00E11E47">
        <w:rPr>
          <w:rFonts w:asciiTheme="majorEastAsia" w:eastAsiaTheme="majorEastAsia" w:hAnsiTheme="majorEastAsia"/>
        </w:rPr>
        <w:t>201</w:t>
      </w:r>
      <w:r w:rsidRPr="00E11E47">
        <w:rPr>
          <w:rFonts w:asciiTheme="majorEastAsia" w:eastAsiaTheme="majorEastAsia" w:hAnsiTheme="majorEastAsia" w:hint="eastAsia"/>
        </w:rPr>
        <w:t>8</w:t>
      </w:r>
      <w:r w:rsidRPr="00E11E47">
        <w:rPr>
          <w:rFonts w:asciiTheme="majorEastAsia" w:eastAsiaTheme="majorEastAsia" w:hAnsiTheme="majorEastAsia"/>
        </w:rPr>
        <w:t>年</w:t>
      </w:r>
      <w:r w:rsidRPr="00E11E47">
        <w:rPr>
          <w:rFonts w:asciiTheme="majorEastAsia" w:eastAsiaTheme="majorEastAsia" w:hAnsiTheme="majorEastAsia" w:hint="eastAsia"/>
        </w:rPr>
        <w:t>湖南科技大学数学与计算科学学</w:t>
      </w:r>
      <w:r w:rsidR="00E11E47" w:rsidRPr="00E11E47">
        <w:rPr>
          <w:rFonts w:asciiTheme="majorEastAsia" w:eastAsiaTheme="majorEastAsia" w:hAnsiTheme="majorEastAsia" w:hint="eastAsia"/>
        </w:rPr>
        <w:t>院</w:t>
      </w:r>
      <w:r w:rsidR="00E11E47">
        <w:rPr>
          <w:rFonts w:asciiTheme="majorEastAsia" w:eastAsiaTheme="majorEastAsia" w:hAnsiTheme="majorEastAsia" w:hint="eastAsia"/>
        </w:rPr>
        <w:t xml:space="preserve">                  </w:t>
      </w:r>
      <w:r w:rsidRPr="00E11E47">
        <w:rPr>
          <w:rFonts w:asciiTheme="majorEastAsia" w:eastAsiaTheme="majorEastAsia" w:hAnsiTheme="majorEastAsia" w:hint="eastAsia"/>
        </w:rPr>
        <w:t>硕士</w:t>
      </w:r>
      <w:r w:rsidRPr="00E11E47">
        <w:rPr>
          <w:rFonts w:asciiTheme="majorEastAsia" w:eastAsiaTheme="majorEastAsia" w:hAnsiTheme="majorEastAsia"/>
        </w:rPr>
        <w:t>研究生招生</w:t>
      </w:r>
      <w:r w:rsidRPr="00E11E47">
        <w:rPr>
          <w:rFonts w:asciiTheme="majorEastAsia" w:eastAsiaTheme="majorEastAsia" w:hAnsiTheme="majorEastAsia" w:hint="eastAsia"/>
        </w:rPr>
        <w:t>简章</w:t>
      </w:r>
    </w:p>
    <w:p w:rsidR="00EB6396" w:rsidRDefault="00EB6396">
      <w:pPr>
        <w:spacing w:line="320" w:lineRule="exact"/>
        <w:rPr>
          <w:rFonts w:ascii="宋体" w:hAnsi="宋体"/>
          <w:b/>
          <w:sz w:val="28"/>
          <w:szCs w:val="28"/>
        </w:rPr>
      </w:pPr>
    </w:p>
    <w:p w:rsidR="008854A4" w:rsidRPr="00A67A0B" w:rsidRDefault="00527674" w:rsidP="00E43ABD">
      <w:pPr>
        <w:spacing w:line="440" w:lineRule="exact"/>
        <w:ind w:firstLineChars="200" w:firstLine="482"/>
        <w:rPr>
          <w:rFonts w:asciiTheme="majorEastAsia" w:eastAsiaTheme="majorEastAsia" w:hAnsiTheme="majorEastAsia"/>
          <w:sz w:val="24"/>
        </w:rPr>
      </w:pPr>
      <w:r w:rsidRPr="00A67A0B">
        <w:rPr>
          <w:rFonts w:asciiTheme="majorEastAsia" w:eastAsiaTheme="majorEastAsia" w:hAnsiTheme="majorEastAsia" w:hint="eastAsia"/>
          <w:b/>
          <w:sz w:val="24"/>
        </w:rPr>
        <w:t>一、学校与学院简介</w:t>
      </w:r>
    </w:p>
    <w:p w:rsidR="008854A4" w:rsidRPr="00A67A0B" w:rsidRDefault="00527674" w:rsidP="00E43ABD">
      <w:pPr>
        <w:spacing w:line="440" w:lineRule="exact"/>
        <w:ind w:firstLineChars="200" w:firstLine="480"/>
        <w:rPr>
          <w:rFonts w:asciiTheme="minorEastAsia" w:hAnsiTheme="minorEastAsia"/>
          <w:sz w:val="24"/>
        </w:rPr>
      </w:pPr>
      <w:r w:rsidRPr="00A67A0B">
        <w:rPr>
          <w:rFonts w:asciiTheme="minorEastAsia" w:hAnsiTheme="minorEastAsia" w:hint="eastAsia"/>
          <w:sz w:val="24"/>
        </w:rPr>
        <w:t>湖南科技大学座落在人杰地灵、风景秀丽的湘江之滨，一代伟人毛泽东的故乡—湖南省湘潭市。学校于1998年获硕士学位授予权，2009年被教育部批准为湖南省唯一的新增博士学位授予权的立项建设单位。学校实行中央与湖南省共建的管理体制，是高素质科技人才培养基地、高水平教师教育基地和应用科学技术研究基地。2012年湖南科技大学被列入了第一批本科招生院校。</w:t>
      </w:r>
    </w:p>
    <w:p w:rsidR="008854A4" w:rsidRDefault="00527674">
      <w:pPr>
        <w:ind w:firstLineChars="200" w:firstLine="420"/>
        <w:rPr>
          <w:rFonts w:ascii="宋体" w:hAnsi="宋体"/>
          <w:szCs w:val="21"/>
        </w:rPr>
      </w:pPr>
      <w:r>
        <w:rPr>
          <w:rFonts w:ascii="宋体" w:hAnsi="宋体" w:hint="eastAsia"/>
          <w:noProof/>
          <w:szCs w:val="21"/>
        </w:rPr>
        <w:drawing>
          <wp:inline distT="0" distB="0" distL="114300" distR="114300">
            <wp:extent cx="4780280" cy="2693035"/>
            <wp:effectExtent l="0" t="0" r="5080" b="4445"/>
            <wp:docPr id="6" name="图片 6" descr="t01cb51a914b4af2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01cb51a914b4af260d"/>
                    <pic:cNvPicPr>
                      <a:picLocks noChangeAspect="1"/>
                    </pic:cNvPicPr>
                  </pic:nvPicPr>
                  <pic:blipFill>
                    <a:blip r:embed="rId8" cstate="print"/>
                    <a:stretch>
                      <a:fillRect/>
                    </a:stretch>
                  </pic:blipFill>
                  <pic:spPr>
                    <a:xfrm>
                      <a:off x="0" y="0"/>
                      <a:ext cx="4780280" cy="2693035"/>
                    </a:xfrm>
                    <a:prstGeom prst="rect">
                      <a:avLst/>
                    </a:prstGeom>
                  </pic:spPr>
                </pic:pic>
              </a:graphicData>
            </a:graphic>
          </wp:inline>
        </w:drawing>
      </w:r>
      <w:bookmarkStart w:id="0" w:name="_GoBack"/>
      <w:bookmarkEnd w:id="0"/>
    </w:p>
    <w:p w:rsidR="008854A4" w:rsidRPr="00A67A0B" w:rsidRDefault="00527674" w:rsidP="00E43ABD">
      <w:pPr>
        <w:spacing w:line="440" w:lineRule="exact"/>
        <w:ind w:firstLineChars="200" w:firstLine="480"/>
        <w:rPr>
          <w:rFonts w:asciiTheme="minorEastAsia" w:hAnsiTheme="minorEastAsia"/>
          <w:sz w:val="24"/>
        </w:rPr>
      </w:pPr>
      <w:r w:rsidRPr="00A67A0B">
        <w:rPr>
          <w:rFonts w:asciiTheme="minorEastAsia" w:hAnsiTheme="minorEastAsia" w:hint="eastAsia"/>
          <w:sz w:val="24"/>
        </w:rPr>
        <w:t>数学与计算科学学院现有数学与应用数学、信息与计算科学和应用统计学三个本科专业(其中：</w:t>
      </w:r>
      <w:r w:rsidR="00161622" w:rsidRPr="00A67A0B">
        <w:rPr>
          <w:rFonts w:asciiTheme="minorEastAsia" w:hAnsiTheme="minorEastAsia" w:hint="eastAsia"/>
          <w:sz w:val="24"/>
        </w:rPr>
        <w:t>“信息与计算科学”为国家教育部第一类特色专业</w:t>
      </w:r>
      <w:r w:rsidR="007A533F" w:rsidRPr="00A67A0B">
        <w:rPr>
          <w:rFonts w:asciiTheme="minorEastAsia" w:hAnsiTheme="minorEastAsia" w:hint="eastAsia"/>
          <w:sz w:val="24"/>
        </w:rPr>
        <w:t>、湖南省重点专业</w:t>
      </w:r>
      <w:r w:rsidR="00161622" w:rsidRPr="00A67A0B">
        <w:rPr>
          <w:rFonts w:asciiTheme="minorEastAsia" w:hAnsiTheme="minorEastAsia" w:hint="eastAsia"/>
          <w:sz w:val="24"/>
        </w:rPr>
        <w:t>,</w:t>
      </w:r>
      <w:r w:rsidRPr="00A67A0B">
        <w:rPr>
          <w:rFonts w:asciiTheme="minorEastAsia" w:hAnsiTheme="minorEastAsia" w:hint="eastAsia"/>
          <w:sz w:val="24"/>
        </w:rPr>
        <w:t>“数学与应用数学”为校级特色专业)。</w:t>
      </w:r>
      <w:r w:rsidR="00CE3C3F" w:rsidRPr="00A67A0B">
        <w:rPr>
          <w:rFonts w:asciiTheme="minorEastAsia" w:hAnsiTheme="minorEastAsia" w:hint="eastAsia"/>
          <w:sz w:val="24"/>
        </w:rPr>
        <w:t>学院拥有数学</w:t>
      </w:r>
      <w:r w:rsidRPr="00A67A0B">
        <w:rPr>
          <w:rFonts w:asciiTheme="minorEastAsia" w:hAnsiTheme="minorEastAsia" w:hint="eastAsia"/>
          <w:sz w:val="24"/>
        </w:rPr>
        <w:t>一级学科</w:t>
      </w:r>
      <w:r w:rsidR="00CE3C3F" w:rsidRPr="00A67A0B">
        <w:rPr>
          <w:rFonts w:asciiTheme="minorEastAsia" w:hAnsiTheme="minorEastAsia" w:hint="eastAsia"/>
          <w:sz w:val="24"/>
        </w:rPr>
        <w:t>硕士点和学科教学（数学）教育领域专业学位硕士点。</w:t>
      </w:r>
      <w:r w:rsidRPr="00A67A0B">
        <w:rPr>
          <w:rFonts w:asciiTheme="minorEastAsia" w:hAnsiTheme="minorEastAsia" w:hint="eastAsia"/>
          <w:sz w:val="24"/>
        </w:rPr>
        <w:t>现有教授11人、副教授30</w:t>
      </w:r>
      <w:r w:rsidR="00CE3C3F" w:rsidRPr="00A67A0B">
        <w:rPr>
          <w:rFonts w:asciiTheme="minorEastAsia" w:hAnsiTheme="minorEastAsia" w:hint="eastAsia"/>
          <w:sz w:val="24"/>
        </w:rPr>
        <w:t>人、具有博士学位</w:t>
      </w:r>
      <w:r w:rsidRPr="00A67A0B">
        <w:rPr>
          <w:rFonts w:asciiTheme="minorEastAsia" w:hAnsiTheme="minorEastAsia" w:hint="eastAsia"/>
          <w:sz w:val="24"/>
        </w:rPr>
        <w:t>教师48人、博士生导师</w:t>
      </w:r>
      <w:r w:rsidR="000F1ECC">
        <w:rPr>
          <w:rFonts w:asciiTheme="minorEastAsia" w:hAnsiTheme="minorEastAsia" w:hint="eastAsia"/>
          <w:sz w:val="24"/>
        </w:rPr>
        <w:t>1人、</w:t>
      </w:r>
      <w:r w:rsidRPr="00A67A0B">
        <w:rPr>
          <w:rFonts w:asciiTheme="minorEastAsia" w:hAnsiTheme="minorEastAsia" w:hint="eastAsia"/>
          <w:sz w:val="24"/>
        </w:rPr>
        <w:t>硕士生导师2</w:t>
      </w:r>
      <w:r w:rsidR="000F1ECC">
        <w:rPr>
          <w:rFonts w:asciiTheme="minorEastAsia" w:hAnsiTheme="minorEastAsia" w:hint="eastAsia"/>
          <w:sz w:val="24"/>
        </w:rPr>
        <w:t>9</w:t>
      </w:r>
      <w:r w:rsidRPr="00A67A0B">
        <w:rPr>
          <w:rFonts w:asciiTheme="minorEastAsia" w:hAnsiTheme="minorEastAsia" w:hint="eastAsia"/>
          <w:sz w:val="24"/>
        </w:rPr>
        <w:t>人、全国优秀教师1人、省级学科带头人</w:t>
      </w:r>
      <w:r w:rsidR="00CE3C3F" w:rsidRPr="00A67A0B">
        <w:rPr>
          <w:rFonts w:asciiTheme="minorEastAsia" w:hAnsiTheme="minorEastAsia" w:hint="eastAsia"/>
          <w:sz w:val="24"/>
        </w:rPr>
        <w:t>1人、</w:t>
      </w:r>
      <w:r w:rsidRPr="00A67A0B">
        <w:rPr>
          <w:rFonts w:asciiTheme="minorEastAsia" w:hAnsiTheme="minorEastAsia" w:hint="eastAsia"/>
          <w:sz w:val="24"/>
        </w:rPr>
        <w:t>省级</w:t>
      </w:r>
      <w:r w:rsidR="00CE3C3F" w:rsidRPr="00A67A0B">
        <w:rPr>
          <w:rFonts w:asciiTheme="minorEastAsia" w:hAnsiTheme="minorEastAsia" w:hint="eastAsia"/>
          <w:sz w:val="24"/>
        </w:rPr>
        <w:t>青年</w:t>
      </w:r>
      <w:r w:rsidRPr="00A67A0B">
        <w:rPr>
          <w:rFonts w:asciiTheme="minorEastAsia" w:hAnsiTheme="minorEastAsia" w:hint="eastAsia"/>
          <w:sz w:val="24"/>
        </w:rPr>
        <w:t>骨干教师</w:t>
      </w:r>
      <w:r w:rsidR="00CE3C3F" w:rsidRPr="00A67A0B">
        <w:rPr>
          <w:rFonts w:asciiTheme="minorEastAsia" w:hAnsiTheme="minorEastAsia" w:hint="eastAsia"/>
          <w:sz w:val="24"/>
        </w:rPr>
        <w:t>及培养对象7人、</w:t>
      </w:r>
      <w:r w:rsidRPr="00A67A0B">
        <w:rPr>
          <w:rFonts w:asciiTheme="minorEastAsia" w:hAnsiTheme="minorEastAsia" w:hint="eastAsia"/>
          <w:sz w:val="24"/>
        </w:rPr>
        <w:t>省</w:t>
      </w:r>
      <w:r w:rsidR="00CE3C3F" w:rsidRPr="00A67A0B">
        <w:rPr>
          <w:rFonts w:asciiTheme="minorEastAsia" w:hAnsiTheme="minorEastAsia" w:hint="eastAsia"/>
          <w:sz w:val="24"/>
        </w:rPr>
        <w:t>级“青年</w:t>
      </w:r>
      <w:r w:rsidRPr="00A67A0B">
        <w:rPr>
          <w:rFonts w:asciiTheme="minorEastAsia" w:hAnsiTheme="minorEastAsia" w:hint="eastAsia"/>
          <w:sz w:val="24"/>
        </w:rPr>
        <w:t>教学能手</w:t>
      </w:r>
      <w:r w:rsidR="00CE3C3F" w:rsidRPr="00A67A0B">
        <w:rPr>
          <w:rFonts w:asciiTheme="minorEastAsia" w:hAnsiTheme="minorEastAsia" w:hint="eastAsia"/>
          <w:sz w:val="24"/>
        </w:rPr>
        <w:t>”</w:t>
      </w:r>
      <w:r w:rsidRPr="00A67A0B">
        <w:rPr>
          <w:rFonts w:asciiTheme="minorEastAsia" w:hAnsiTheme="minorEastAsia" w:hint="eastAsia"/>
          <w:sz w:val="24"/>
        </w:rPr>
        <w:t>4人。</w:t>
      </w:r>
    </w:p>
    <w:p w:rsidR="00E11E47" w:rsidRPr="00952DBA" w:rsidRDefault="00E11E47" w:rsidP="00E43ABD">
      <w:pPr>
        <w:spacing w:line="440" w:lineRule="exact"/>
        <w:ind w:firstLineChars="200" w:firstLine="480"/>
        <w:rPr>
          <w:rFonts w:ascii="宋体" w:eastAsia="宋体" w:hAnsi="宋体" w:cs="Times New Roman"/>
          <w:sz w:val="24"/>
        </w:rPr>
      </w:pPr>
      <w:r w:rsidRPr="00A67A0B">
        <w:rPr>
          <w:rFonts w:asciiTheme="minorEastAsia" w:hAnsiTheme="minorEastAsia" w:hint="eastAsia"/>
          <w:sz w:val="24"/>
        </w:rPr>
        <w:t>学院拥有优秀的研究团队，</w:t>
      </w:r>
      <w:r w:rsidR="00952DBA">
        <w:rPr>
          <w:rFonts w:asciiTheme="minorEastAsia" w:hAnsiTheme="minorEastAsia" w:hint="eastAsia"/>
          <w:sz w:val="24"/>
        </w:rPr>
        <w:t>在数学</w:t>
      </w:r>
      <w:r w:rsidR="00952DBA" w:rsidRPr="00A67A0B">
        <w:rPr>
          <w:rFonts w:asciiTheme="minorEastAsia" w:hAnsiTheme="minorEastAsia" w:hint="eastAsia"/>
          <w:sz w:val="24"/>
        </w:rPr>
        <w:t>领域</w:t>
      </w:r>
      <w:r w:rsidRPr="00A67A0B">
        <w:rPr>
          <w:rFonts w:asciiTheme="minorEastAsia" w:hAnsiTheme="minorEastAsia" w:hint="eastAsia"/>
          <w:sz w:val="24"/>
        </w:rPr>
        <w:t>取得了</w:t>
      </w:r>
      <w:r w:rsidR="00952DBA">
        <w:rPr>
          <w:rFonts w:asciiTheme="minorEastAsia" w:hAnsiTheme="minorEastAsia" w:hint="eastAsia"/>
          <w:sz w:val="24"/>
        </w:rPr>
        <w:t>可喜成绩。近年来，</w:t>
      </w:r>
      <w:r w:rsidR="00952DBA" w:rsidRPr="00952DBA">
        <w:rPr>
          <w:rFonts w:ascii="宋体" w:eastAsia="宋体" w:hAnsi="宋体" w:cs="Times New Roman" w:hint="eastAsia"/>
          <w:sz w:val="24"/>
        </w:rPr>
        <w:t>主持国家、省部级科研项目60余项，省级、校级教学改革项目20余项，省级精品课程2门、优秀课程3门，在国内外核心刊物上发表论文300余篇，其中SCI、EI、CSCD收录</w:t>
      </w:r>
      <w:r w:rsidR="00952DBA">
        <w:rPr>
          <w:rFonts w:asciiTheme="minorEastAsia" w:hAnsiTheme="minorEastAsia" w:hint="eastAsia"/>
          <w:sz w:val="24"/>
        </w:rPr>
        <w:t>20</w:t>
      </w:r>
      <w:r w:rsidR="00952DBA" w:rsidRPr="00952DBA">
        <w:rPr>
          <w:rFonts w:ascii="宋体" w:eastAsia="宋体" w:hAnsi="宋体" w:cs="Times New Roman" w:hint="eastAsia"/>
          <w:sz w:val="24"/>
        </w:rPr>
        <w:t>0余篇</w:t>
      </w:r>
      <w:r w:rsidR="00527674" w:rsidRPr="00A67A0B">
        <w:rPr>
          <w:rFonts w:asciiTheme="minorEastAsia" w:hAnsiTheme="minorEastAsia" w:hint="eastAsia"/>
          <w:sz w:val="24"/>
        </w:rPr>
        <w:t>。</w:t>
      </w:r>
      <w:r w:rsidR="00952DBA" w:rsidRPr="00A67A0B">
        <w:rPr>
          <w:rFonts w:asciiTheme="minorEastAsia" w:hAnsiTheme="minorEastAsia" w:hint="eastAsia"/>
          <w:sz w:val="24"/>
        </w:rPr>
        <w:t xml:space="preserve"> </w:t>
      </w:r>
      <w:r w:rsidR="00952DBA">
        <w:rPr>
          <w:rFonts w:asciiTheme="minorEastAsia" w:hAnsiTheme="minorEastAsia" w:hint="eastAsia"/>
          <w:sz w:val="24"/>
        </w:rPr>
        <w:t>学院招收数学专业硕士研究生</w:t>
      </w:r>
      <w:r w:rsidR="00952DBA" w:rsidRPr="00952DBA">
        <w:rPr>
          <w:rFonts w:ascii="宋体" w:eastAsia="宋体" w:hAnsi="宋体" w:cs="Times New Roman" w:hint="eastAsia"/>
          <w:sz w:val="24"/>
        </w:rPr>
        <w:t>和教育硕士中的“数学学科教学”专业研究生</w:t>
      </w:r>
      <w:r w:rsidR="00527674" w:rsidRPr="00952DBA">
        <w:rPr>
          <w:rFonts w:ascii="宋体" w:eastAsia="宋体" w:hAnsi="宋体" w:cs="Times New Roman" w:hint="eastAsia"/>
          <w:sz w:val="24"/>
        </w:rPr>
        <w:t>，欢迎符合报考条件的考生踊跃报</w:t>
      </w:r>
      <w:r w:rsidRPr="00952DBA">
        <w:rPr>
          <w:rFonts w:ascii="宋体" w:eastAsia="宋体" w:hAnsi="宋体" w:cs="Times New Roman" w:hint="eastAsia"/>
          <w:sz w:val="24"/>
        </w:rPr>
        <w:t>考。</w:t>
      </w:r>
    </w:p>
    <w:p w:rsidR="008854A4" w:rsidRDefault="00527674" w:rsidP="00E11E47">
      <w:pPr>
        <w:ind w:firstLineChars="200" w:firstLine="420"/>
        <w:jc w:val="center"/>
        <w:rPr>
          <w:rFonts w:ascii="宋体" w:hAnsi="宋体"/>
          <w:szCs w:val="21"/>
        </w:rPr>
      </w:pPr>
      <w:r>
        <w:rPr>
          <w:rFonts w:ascii="宋体" w:hAnsi="宋体" w:hint="eastAsia"/>
          <w:noProof/>
          <w:szCs w:val="21"/>
        </w:rPr>
        <w:lastRenderedPageBreak/>
        <w:drawing>
          <wp:inline distT="0" distB="0" distL="114300" distR="114300">
            <wp:extent cx="4521835" cy="2546985"/>
            <wp:effectExtent l="0" t="0" r="4445" b="13335"/>
            <wp:docPr id="1" name="图片 1" descr="t01af627412bca94f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01af627412bca94f9e"/>
                    <pic:cNvPicPr>
                      <a:picLocks noChangeAspect="1"/>
                    </pic:cNvPicPr>
                  </pic:nvPicPr>
                  <pic:blipFill>
                    <a:blip r:embed="rId9" cstate="print"/>
                    <a:stretch>
                      <a:fillRect/>
                    </a:stretch>
                  </pic:blipFill>
                  <pic:spPr>
                    <a:xfrm>
                      <a:off x="0" y="0"/>
                      <a:ext cx="4521835" cy="2546985"/>
                    </a:xfrm>
                    <a:prstGeom prst="rect">
                      <a:avLst/>
                    </a:prstGeom>
                  </pic:spPr>
                </pic:pic>
              </a:graphicData>
            </a:graphic>
          </wp:inline>
        </w:drawing>
      </w:r>
    </w:p>
    <w:p w:rsidR="00A67A0B" w:rsidRDefault="00A67A0B" w:rsidP="00E43ABD">
      <w:pPr>
        <w:spacing w:line="440" w:lineRule="exact"/>
        <w:ind w:firstLineChars="147" w:firstLine="413"/>
        <w:rPr>
          <w:rFonts w:ascii="宋体" w:hAnsi="宋体"/>
          <w:b/>
          <w:sz w:val="28"/>
          <w:szCs w:val="28"/>
        </w:rPr>
      </w:pPr>
    </w:p>
    <w:p w:rsidR="008854A4" w:rsidRPr="00A67A0B" w:rsidRDefault="00527674" w:rsidP="00E43ABD">
      <w:pPr>
        <w:spacing w:line="440" w:lineRule="exact"/>
        <w:ind w:firstLineChars="200" w:firstLine="482"/>
        <w:rPr>
          <w:rFonts w:asciiTheme="majorEastAsia" w:eastAsiaTheme="majorEastAsia" w:hAnsiTheme="majorEastAsia"/>
          <w:b/>
          <w:sz w:val="24"/>
        </w:rPr>
      </w:pPr>
      <w:r w:rsidRPr="00A67A0B">
        <w:rPr>
          <w:rFonts w:asciiTheme="majorEastAsia" w:eastAsiaTheme="majorEastAsia" w:hAnsiTheme="majorEastAsia" w:hint="eastAsia"/>
          <w:b/>
          <w:sz w:val="24"/>
        </w:rPr>
        <w:t>二、攻读我院研究生的奖励政策</w:t>
      </w:r>
    </w:p>
    <w:p w:rsidR="008854A4" w:rsidRPr="00A67A0B" w:rsidRDefault="00527674" w:rsidP="00E43ABD">
      <w:pPr>
        <w:widowControl/>
        <w:spacing w:line="440" w:lineRule="exact"/>
        <w:ind w:firstLineChars="200" w:firstLine="480"/>
        <w:rPr>
          <w:rFonts w:asciiTheme="minorEastAsia" w:hAnsiTheme="minorEastAsia"/>
          <w:sz w:val="24"/>
        </w:rPr>
      </w:pPr>
      <w:r w:rsidRPr="00A67A0B">
        <w:rPr>
          <w:rFonts w:asciiTheme="minorEastAsia" w:hAnsiTheme="minorEastAsia" w:hint="eastAsia"/>
          <w:sz w:val="24"/>
        </w:rPr>
        <w:t>湖南科技大学拥有完善的优秀研究生奖助与科研资助体系，覆盖研究生培养的全过程。</w:t>
      </w:r>
    </w:p>
    <w:p w:rsidR="008854A4" w:rsidRPr="00A67A0B" w:rsidRDefault="00527674" w:rsidP="00E43ABD">
      <w:pPr>
        <w:spacing w:line="440" w:lineRule="exact"/>
        <w:ind w:firstLineChars="200" w:firstLine="482"/>
        <w:rPr>
          <w:rFonts w:asciiTheme="majorEastAsia" w:eastAsiaTheme="majorEastAsia" w:hAnsiTheme="majorEastAsia"/>
          <w:b/>
          <w:sz w:val="24"/>
        </w:rPr>
      </w:pPr>
      <w:r w:rsidRPr="00A67A0B">
        <w:rPr>
          <w:rFonts w:asciiTheme="majorEastAsia" w:eastAsiaTheme="majorEastAsia" w:hAnsiTheme="majorEastAsia"/>
          <w:b/>
          <w:sz w:val="24"/>
        </w:rPr>
        <w:t>1.国家助学金</w:t>
      </w:r>
    </w:p>
    <w:p w:rsidR="008854A4" w:rsidRPr="00A67A0B" w:rsidRDefault="00527674" w:rsidP="00E43ABD">
      <w:pPr>
        <w:spacing w:line="440" w:lineRule="exact"/>
        <w:ind w:firstLineChars="200" w:firstLine="480"/>
        <w:rPr>
          <w:rFonts w:asciiTheme="minorEastAsia" w:hAnsiTheme="minorEastAsia"/>
          <w:sz w:val="24"/>
        </w:rPr>
      </w:pPr>
      <w:r w:rsidRPr="00A67A0B">
        <w:rPr>
          <w:rFonts w:asciiTheme="minorEastAsia" w:hAnsiTheme="minorEastAsia" w:hint="eastAsia"/>
          <w:sz w:val="24"/>
        </w:rPr>
        <w:t>档案在校的全日制学生每人可享受6000元/年的助学金，具体按照国家相关文件执行。</w:t>
      </w:r>
    </w:p>
    <w:p w:rsidR="008854A4" w:rsidRPr="00A67A0B" w:rsidRDefault="00A67A0B" w:rsidP="00E43ABD">
      <w:pPr>
        <w:spacing w:line="440" w:lineRule="exact"/>
        <w:ind w:firstLineChars="200" w:firstLine="482"/>
        <w:rPr>
          <w:rFonts w:asciiTheme="majorEastAsia" w:eastAsiaTheme="majorEastAsia" w:hAnsiTheme="majorEastAsia"/>
          <w:b/>
          <w:sz w:val="24"/>
        </w:rPr>
      </w:pPr>
      <w:r w:rsidRPr="00A67A0B">
        <w:rPr>
          <w:rFonts w:asciiTheme="majorEastAsia" w:eastAsiaTheme="majorEastAsia" w:hAnsiTheme="majorEastAsia" w:hint="eastAsia"/>
          <w:b/>
          <w:sz w:val="24"/>
        </w:rPr>
        <w:t>2.</w:t>
      </w:r>
      <w:r w:rsidR="00527674" w:rsidRPr="00A67A0B">
        <w:rPr>
          <w:rFonts w:asciiTheme="majorEastAsia" w:eastAsiaTheme="majorEastAsia" w:hAnsiTheme="majorEastAsia" w:hint="eastAsia"/>
          <w:b/>
          <w:sz w:val="24"/>
        </w:rPr>
        <w:t>学业奖学金</w:t>
      </w:r>
    </w:p>
    <w:p w:rsidR="008854A4" w:rsidRPr="00A67A0B" w:rsidRDefault="00527674" w:rsidP="00E43ABD">
      <w:pPr>
        <w:spacing w:line="440" w:lineRule="exact"/>
        <w:ind w:firstLineChars="200" w:firstLine="480"/>
        <w:rPr>
          <w:rFonts w:asciiTheme="minorEastAsia" w:hAnsiTheme="minorEastAsia"/>
          <w:sz w:val="24"/>
        </w:rPr>
      </w:pPr>
      <w:r w:rsidRPr="00A67A0B">
        <w:rPr>
          <w:rFonts w:asciiTheme="minorEastAsia" w:hAnsiTheme="minorEastAsia" w:hint="eastAsia"/>
          <w:sz w:val="24"/>
        </w:rPr>
        <w:t>学业奖学金设一等奖、二等奖、三等奖共3个等级，在学期间优秀者可申请获得奖学金。其中，一等奖学金9000元/年，二等奖学金6000元/年，三等奖学金4000元/年，其他奖项按学校当年相关文件执行。在学期间表现优异的研究生可申请国家奖学金，获得奖励的硕士研究生每人2万元。具体评选办法按国家有关文件办法执行。</w:t>
      </w:r>
    </w:p>
    <w:p w:rsidR="00A67A0B" w:rsidRPr="00A67A0B" w:rsidRDefault="00A67A0B" w:rsidP="00E43ABD">
      <w:pPr>
        <w:spacing w:line="440" w:lineRule="exact"/>
        <w:ind w:firstLineChars="200" w:firstLine="482"/>
        <w:rPr>
          <w:rFonts w:asciiTheme="majorEastAsia" w:eastAsiaTheme="majorEastAsia" w:hAnsiTheme="majorEastAsia"/>
          <w:b/>
          <w:sz w:val="24"/>
        </w:rPr>
      </w:pPr>
      <w:r w:rsidRPr="00A67A0B">
        <w:rPr>
          <w:rFonts w:asciiTheme="majorEastAsia" w:eastAsiaTheme="majorEastAsia" w:hAnsiTheme="majorEastAsia" w:hint="eastAsia"/>
          <w:b/>
          <w:sz w:val="24"/>
        </w:rPr>
        <w:t>3.</w:t>
      </w:r>
      <w:r w:rsidR="00527674" w:rsidRPr="00A67A0B">
        <w:rPr>
          <w:rFonts w:asciiTheme="majorEastAsia" w:eastAsiaTheme="majorEastAsia" w:hAnsiTheme="majorEastAsia" w:hint="eastAsia"/>
          <w:b/>
          <w:sz w:val="24"/>
        </w:rPr>
        <w:t>三助岗位津贴</w:t>
      </w:r>
    </w:p>
    <w:p w:rsidR="00A67A0B" w:rsidRDefault="00527674" w:rsidP="00E43ABD">
      <w:pPr>
        <w:spacing w:line="440" w:lineRule="exact"/>
        <w:ind w:firstLineChars="200" w:firstLine="480"/>
        <w:rPr>
          <w:rFonts w:asciiTheme="minorEastAsia" w:hAnsiTheme="minorEastAsia"/>
          <w:sz w:val="24"/>
        </w:rPr>
      </w:pPr>
      <w:r w:rsidRPr="00A67A0B">
        <w:rPr>
          <w:rFonts w:asciiTheme="minorEastAsia" w:hAnsiTheme="minorEastAsia" w:hint="eastAsia"/>
          <w:sz w:val="24"/>
        </w:rPr>
        <w:t>学校相关部门提供相关的助研、助教、助管、学生辅导员等岗位，并给受聘</w:t>
      </w:r>
    </w:p>
    <w:p w:rsidR="008854A4" w:rsidRPr="00A67A0B" w:rsidRDefault="00527674" w:rsidP="00E43ABD">
      <w:pPr>
        <w:spacing w:line="440" w:lineRule="exact"/>
        <w:rPr>
          <w:rFonts w:asciiTheme="minorEastAsia" w:hAnsiTheme="minorEastAsia"/>
          <w:sz w:val="24"/>
        </w:rPr>
      </w:pPr>
      <w:r w:rsidRPr="00A67A0B">
        <w:rPr>
          <w:rFonts w:asciiTheme="minorEastAsia" w:hAnsiTheme="minorEastAsia" w:hint="eastAsia"/>
          <w:sz w:val="24"/>
        </w:rPr>
        <w:t>研究生提供相应岗位津贴。</w:t>
      </w:r>
    </w:p>
    <w:p w:rsidR="00A67A0B" w:rsidRPr="00A67A0B" w:rsidRDefault="00A67A0B" w:rsidP="00E43ABD">
      <w:pPr>
        <w:spacing w:line="440" w:lineRule="exact"/>
        <w:ind w:firstLineChars="200" w:firstLine="482"/>
        <w:rPr>
          <w:rFonts w:asciiTheme="majorEastAsia" w:eastAsiaTheme="majorEastAsia" w:hAnsiTheme="majorEastAsia"/>
          <w:b/>
          <w:sz w:val="24"/>
        </w:rPr>
      </w:pPr>
      <w:r w:rsidRPr="00A67A0B">
        <w:rPr>
          <w:rFonts w:asciiTheme="majorEastAsia" w:eastAsiaTheme="majorEastAsia" w:hAnsiTheme="majorEastAsia" w:hint="eastAsia"/>
          <w:b/>
          <w:sz w:val="24"/>
        </w:rPr>
        <w:t>4.科研资助项目</w:t>
      </w:r>
    </w:p>
    <w:p w:rsidR="008854A4" w:rsidRPr="00A67A0B" w:rsidRDefault="00527674" w:rsidP="00E43ABD">
      <w:pPr>
        <w:spacing w:line="440" w:lineRule="exact"/>
        <w:ind w:firstLineChars="200" w:firstLine="480"/>
        <w:rPr>
          <w:rFonts w:asciiTheme="minorEastAsia" w:hAnsiTheme="minorEastAsia"/>
          <w:sz w:val="24"/>
        </w:rPr>
      </w:pPr>
      <w:r w:rsidRPr="00A67A0B">
        <w:rPr>
          <w:rFonts w:asciiTheme="minorEastAsia" w:hAnsiTheme="minorEastAsia" w:hint="eastAsia"/>
          <w:sz w:val="24"/>
        </w:rPr>
        <w:t>在读期间可以申报研究生科研创新项目、学术新人培养项目、优秀论文培育项目等科研资助项目。</w:t>
      </w:r>
    </w:p>
    <w:p w:rsidR="008854A4" w:rsidRDefault="008854A4" w:rsidP="00E43ABD">
      <w:pPr>
        <w:spacing w:line="440" w:lineRule="exact"/>
        <w:ind w:firstLineChars="200" w:firstLine="420"/>
        <w:rPr>
          <w:color w:val="000000"/>
          <w:szCs w:val="21"/>
        </w:rPr>
      </w:pPr>
    </w:p>
    <w:p w:rsidR="00E43ABD" w:rsidRDefault="00E43ABD" w:rsidP="00E43ABD">
      <w:pPr>
        <w:spacing w:line="440" w:lineRule="exact"/>
        <w:ind w:firstLineChars="200" w:firstLine="420"/>
        <w:rPr>
          <w:color w:val="000000"/>
          <w:szCs w:val="21"/>
        </w:rPr>
      </w:pPr>
    </w:p>
    <w:p w:rsidR="00E43ABD" w:rsidRDefault="00E43ABD" w:rsidP="00E43ABD">
      <w:pPr>
        <w:spacing w:line="440" w:lineRule="exact"/>
        <w:ind w:firstLineChars="200" w:firstLine="420"/>
        <w:rPr>
          <w:color w:val="000000"/>
          <w:szCs w:val="21"/>
        </w:rPr>
      </w:pPr>
    </w:p>
    <w:p w:rsidR="00220675" w:rsidRPr="00220675" w:rsidRDefault="00527674" w:rsidP="00BC465E">
      <w:pPr>
        <w:spacing w:line="440" w:lineRule="exact"/>
        <w:ind w:firstLineChars="200" w:firstLine="482"/>
        <w:rPr>
          <w:rFonts w:asciiTheme="majorEastAsia" w:eastAsiaTheme="majorEastAsia" w:hAnsiTheme="majorEastAsia"/>
          <w:b/>
          <w:sz w:val="24"/>
        </w:rPr>
      </w:pPr>
      <w:r w:rsidRPr="00220675">
        <w:rPr>
          <w:rFonts w:asciiTheme="majorEastAsia" w:eastAsiaTheme="majorEastAsia" w:hAnsiTheme="majorEastAsia" w:hint="eastAsia"/>
          <w:b/>
          <w:sz w:val="24"/>
        </w:rPr>
        <w:lastRenderedPageBreak/>
        <w:t>三、招生</w:t>
      </w:r>
      <w:r w:rsidR="003C1FA2" w:rsidRPr="00220675">
        <w:rPr>
          <w:rFonts w:asciiTheme="majorEastAsia" w:eastAsiaTheme="majorEastAsia" w:hAnsiTheme="majorEastAsia" w:hint="eastAsia"/>
          <w:b/>
          <w:sz w:val="24"/>
        </w:rPr>
        <w:t>目录</w:t>
      </w:r>
    </w:p>
    <w:tbl>
      <w:tblPr>
        <w:tblStyle w:val="a5"/>
        <w:tblW w:w="7873" w:type="dxa"/>
        <w:jc w:val="center"/>
        <w:tblInd w:w="-300" w:type="dxa"/>
        <w:tblLayout w:type="fixed"/>
        <w:tblLook w:val="04A0"/>
      </w:tblPr>
      <w:tblGrid>
        <w:gridCol w:w="1409"/>
        <w:gridCol w:w="1701"/>
        <w:gridCol w:w="2637"/>
        <w:gridCol w:w="2126"/>
      </w:tblGrid>
      <w:tr w:rsidR="003C1FA2" w:rsidTr="00E43ABD">
        <w:trPr>
          <w:trHeight w:val="495"/>
          <w:jc w:val="center"/>
        </w:trPr>
        <w:tc>
          <w:tcPr>
            <w:tcW w:w="1409" w:type="dxa"/>
            <w:vAlign w:val="center"/>
          </w:tcPr>
          <w:p w:rsidR="003C1FA2" w:rsidRDefault="003C1FA2" w:rsidP="00E43ABD">
            <w:pPr>
              <w:jc w:val="center"/>
              <w:rPr>
                <w:rFonts w:ascii="宋体" w:hAnsi="宋体"/>
                <w:b/>
                <w:szCs w:val="21"/>
              </w:rPr>
            </w:pPr>
            <w:r>
              <w:rPr>
                <w:rFonts w:ascii="宋体" w:hAnsi="宋体" w:hint="eastAsia"/>
                <w:b/>
                <w:szCs w:val="21"/>
              </w:rPr>
              <w:t>学科名称</w:t>
            </w:r>
          </w:p>
        </w:tc>
        <w:tc>
          <w:tcPr>
            <w:tcW w:w="1701" w:type="dxa"/>
            <w:vAlign w:val="center"/>
          </w:tcPr>
          <w:p w:rsidR="003C1FA2" w:rsidRDefault="003C1FA2" w:rsidP="00E43ABD">
            <w:pPr>
              <w:jc w:val="center"/>
              <w:rPr>
                <w:rFonts w:ascii="宋体" w:hAnsi="宋体"/>
                <w:b/>
                <w:szCs w:val="21"/>
              </w:rPr>
            </w:pPr>
            <w:r>
              <w:rPr>
                <w:rFonts w:ascii="宋体" w:hAnsi="宋体" w:hint="eastAsia"/>
                <w:b/>
                <w:szCs w:val="21"/>
              </w:rPr>
              <w:t>招生专业代码</w:t>
            </w:r>
          </w:p>
        </w:tc>
        <w:tc>
          <w:tcPr>
            <w:tcW w:w="2637" w:type="dxa"/>
            <w:vAlign w:val="center"/>
          </w:tcPr>
          <w:p w:rsidR="003C1FA2" w:rsidRDefault="003C1FA2" w:rsidP="00E43ABD">
            <w:pPr>
              <w:jc w:val="center"/>
              <w:rPr>
                <w:rFonts w:ascii="宋体" w:hAnsi="宋体"/>
                <w:b/>
                <w:szCs w:val="21"/>
              </w:rPr>
            </w:pPr>
            <w:r>
              <w:rPr>
                <w:rFonts w:ascii="宋体" w:hAnsi="宋体" w:hint="eastAsia"/>
                <w:b/>
                <w:szCs w:val="21"/>
              </w:rPr>
              <w:t>研究方向</w:t>
            </w:r>
          </w:p>
        </w:tc>
        <w:tc>
          <w:tcPr>
            <w:tcW w:w="2126" w:type="dxa"/>
            <w:vAlign w:val="center"/>
          </w:tcPr>
          <w:p w:rsidR="003C1FA2" w:rsidRDefault="003C1FA2" w:rsidP="00E43ABD">
            <w:pPr>
              <w:jc w:val="center"/>
              <w:rPr>
                <w:rFonts w:ascii="宋体" w:hAnsi="宋体"/>
                <w:b/>
                <w:szCs w:val="21"/>
              </w:rPr>
            </w:pPr>
            <w:r>
              <w:rPr>
                <w:rFonts w:ascii="宋体" w:hAnsi="宋体" w:hint="eastAsia"/>
                <w:b/>
                <w:szCs w:val="21"/>
              </w:rPr>
              <w:t>考试科目</w:t>
            </w:r>
          </w:p>
        </w:tc>
      </w:tr>
      <w:tr w:rsidR="003C1FA2" w:rsidTr="00E43ABD">
        <w:trPr>
          <w:trHeight w:val="476"/>
          <w:jc w:val="center"/>
        </w:trPr>
        <w:tc>
          <w:tcPr>
            <w:tcW w:w="1409" w:type="dxa"/>
            <w:vMerge w:val="restart"/>
          </w:tcPr>
          <w:p w:rsidR="003C1FA2" w:rsidRDefault="003C1FA2">
            <w:pPr>
              <w:jc w:val="center"/>
              <w:rPr>
                <w:rFonts w:ascii="宋体" w:hAnsi="宋体"/>
                <w:b/>
                <w:szCs w:val="21"/>
              </w:rPr>
            </w:pPr>
          </w:p>
          <w:p w:rsidR="003C1FA2" w:rsidRDefault="003C1FA2">
            <w:pPr>
              <w:jc w:val="center"/>
              <w:rPr>
                <w:rFonts w:ascii="宋体" w:hAnsi="宋体"/>
                <w:b/>
                <w:szCs w:val="21"/>
              </w:rPr>
            </w:pPr>
          </w:p>
          <w:p w:rsidR="003C1FA2" w:rsidRDefault="003C1FA2">
            <w:pPr>
              <w:jc w:val="center"/>
              <w:rPr>
                <w:rFonts w:ascii="宋体" w:hAnsi="宋体"/>
                <w:b/>
                <w:szCs w:val="21"/>
              </w:rPr>
            </w:pPr>
          </w:p>
          <w:p w:rsidR="003C1FA2" w:rsidRDefault="003C1FA2">
            <w:pPr>
              <w:jc w:val="center"/>
              <w:rPr>
                <w:rFonts w:ascii="宋体" w:hAnsi="宋体"/>
                <w:b/>
                <w:szCs w:val="21"/>
              </w:rPr>
            </w:pPr>
            <w:r>
              <w:rPr>
                <w:rFonts w:ascii="宋体" w:hAnsi="宋体" w:hint="eastAsia"/>
                <w:b/>
                <w:szCs w:val="21"/>
              </w:rPr>
              <w:t>数学</w:t>
            </w:r>
          </w:p>
        </w:tc>
        <w:tc>
          <w:tcPr>
            <w:tcW w:w="1701" w:type="dxa"/>
            <w:vMerge w:val="restart"/>
          </w:tcPr>
          <w:p w:rsidR="003C1FA2" w:rsidRDefault="003C1FA2">
            <w:pPr>
              <w:jc w:val="center"/>
              <w:rPr>
                <w:rFonts w:ascii="宋体" w:hAnsi="宋体"/>
                <w:b/>
                <w:szCs w:val="21"/>
              </w:rPr>
            </w:pPr>
          </w:p>
          <w:p w:rsidR="003C1FA2" w:rsidRDefault="003C1FA2">
            <w:pPr>
              <w:jc w:val="center"/>
              <w:rPr>
                <w:rFonts w:ascii="宋体" w:hAnsi="宋体"/>
                <w:b/>
                <w:szCs w:val="21"/>
              </w:rPr>
            </w:pPr>
          </w:p>
          <w:p w:rsidR="003C1FA2" w:rsidRDefault="003C1FA2">
            <w:pPr>
              <w:jc w:val="center"/>
              <w:rPr>
                <w:rFonts w:ascii="宋体" w:hAnsi="宋体"/>
                <w:b/>
                <w:szCs w:val="21"/>
              </w:rPr>
            </w:pPr>
          </w:p>
          <w:p w:rsidR="003C1FA2" w:rsidRDefault="003C1FA2">
            <w:pPr>
              <w:jc w:val="center"/>
              <w:rPr>
                <w:rFonts w:ascii="宋体" w:hAnsi="宋体"/>
                <w:b/>
                <w:szCs w:val="21"/>
              </w:rPr>
            </w:pPr>
            <w:r>
              <w:rPr>
                <w:rFonts w:ascii="宋体" w:hAnsi="宋体" w:hint="eastAsia"/>
                <w:b/>
                <w:szCs w:val="21"/>
              </w:rPr>
              <w:t>0701</w:t>
            </w:r>
          </w:p>
        </w:tc>
        <w:tc>
          <w:tcPr>
            <w:tcW w:w="2637" w:type="dxa"/>
            <w:vAlign w:val="center"/>
          </w:tcPr>
          <w:p w:rsidR="003C1FA2" w:rsidRDefault="003C1FA2" w:rsidP="00A67A0B">
            <w:pPr>
              <w:jc w:val="center"/>
              <w:rPr>
                <w:rFonts w:ascii="宋体" w:hAnsi="宋体"/>
                <w:b/>
                <w:szCs w:val="21"/>
              </w:rPr>
            </w:pPr>
            <w:r>
              <w:rPr>
                <w:rFonts w:ascii="Arial" w:hAnsi="Arial" w:cs="Arial"/>
                <w:color w:val="000000"/>
                <w:kern w:val="0"/>
                <w:sz w:val="20"/>
                <w:szCs w:val="20"/>
              </w:rPr>
              <w:t>科学与工程计算及其仿真</w:t>
            </w:r>
          </w:p>
        </w:tc>
        <w:tc>
          <w:tcPr>
            <w:tcW w:w="2126" w:type="dxa"/>
            <w:vMerge w:val="restart"/>
          </w:tcPr>
          <w:p w:rsidR="00A67A0B" w:rsidRDefault="00A67A0B" w:rsidP="00A67A0B">
            <w:pPr>
              <w:rPr>
                <w:rFonts w:ascii="宋体" w:hAnsi="宋体"/>
                <w:szCs w:val="21"/>
              </w:rPr>
            </w:pPr>
          </w:p>
          <w:p w:rsidR="00A67A0B" w:rsidRDefault="00A67A0B" w:rsidP="00A67A0B">
            <w:pPr>
              <w:rPr>
                <w:rFonts w:ascii="宋体" w:hAnsi="宋体"/>
                <w:szCs w:val="21"/>
              </w:rPr>
            </w:pPr>
          </w:p>
          <w:p w:rsidR="003C1FA2" w:rsidRDefault="00A67A0B" w:rsidP="00A67A0B">
            <w:pPr>
              <w:rPr>
                <w:rFonts w:ascii="宋体" w:hAnsi="宋体"/>
                <w:szCs w:val="21"/>
              </w:rPr>
            </w:pPr>
            <w:r>
              <w:rPr>
                <w:rFonts w:ascii="宋体" w:hAnsi="宋体" w:hint="eastAsia"/>
                <w:szCs w:val="21"/>
              </w:rPr>
              <w:t>1.</w:t>
            </w:r>
            <w:r w:rsidR="003C1FA2">
              <w:rPr>
                <w:rFonts w:ascii="宋体" w:hAnsi="宋体" w:hint="eastAsia"/>
                <w:szCs w:val="21"/>
              </w:rPr>
              <w:t>思想政治理论</w:t>
            </w:r>
          </w:p>
          <w:p w:rsidR="003C1FA2" w:rsidRDefault="003C1FA2" w:rsidP="00B259EB">
            <w:pPr>
              <w:rPr>
                <w:rFonts w:ascii="宋体" w:hAnsi="宋体"/>
                <w:szCs w:val="21"/>
              </w:rPr>
            </w:pPr>
            <w:r>
              <w:rPr>
                <w:rFonts w:ascii="宋体" w:hAnsi="宋体" w:hint="eastAsia"/>
                <w:szCs w:val="21"/>
              </w:rPr>
              <w:t>2.英语一</w:t>
            </w:r>
          </w:p>
          <w:p w:rsidR="003C1FA2" w:rsidRDefault="00A67A0B" w:rsidP="00B259EB">
            <w:pPr>
              <w:rPr>
                <w:rFonts w:ascii="宋体" w:hAnsi="宋体"/>
                <w:szCs w:val="21"/>
              </w:rPr>
            </w:pPr>
            <w:r>
              <w:rPr>
                <w:rFonts w:ascii="宋体" w:hAnsi="宋体" w:hint="eastAsia"/>
                <w:szCs w:val="21"/>
              </w:rPr>
              <w:t>3.</w:t>
            </w:r>
            <w:r w:rsidR="003C1FA2">
              <w:rPr>
                <w:rFonts w:ascii="宋体" w:hAnsi="宋体" w:hint="eastAsia"/>
                <w:szCs w:val="21"/>
              </w:rPr>
              <w:t>数学分析</w:t>
            </w:r>
          </w:p>
          <w:p w:rsidR="003C1FA2" w:rsidRDefault="003C1FA2" w:rsidP="00B259EB">
            <w:pPr>
              <w:rPr>
                <w:rFonts w:ascii="宋体" w:hAnsi="宋体"/>
                <w:szCs w:val="21"/>
              </w:rPr>
            </w:pPr>
            <w:r>
              <w:rPr>
                <w:rFonts w:ascii="宋体" w:hAnsi="宋体" w:hint="eastAsia"/>
                <w:szCs w:val="21"/>
              </w:rPr>
              <w:t>4.</w:t>
            </w:r>
            <w:r>
              <w:rPr>
                <w:rFonts w:ascii="宋体" w:hAnsi="宋体"/>
                <w:szCs w:val="21"/>
              </w:rPr>
              <w:t>高等代数</w:t>
            </w:r>
          </w:p>
          <w:p w:rsidR="00A67A0B" w:rsidRDefault="00A67A0B" w:rsidP="00B259EB">
            <w:pPr>
              <w:rPr>
                <w:rFonts w:ascii="宋体" w:hAnsi="宋体"/>
                <w:szCs w:val="21"/>
              </w:rPr>
            </w:pPr>
          </w:p>
          <w:p w:rsidR="00A67A0B" w:rsidRDefault="00A67A0B" w:rsidP="00B259EB">
            <w:pPr>
              <w:rPr>
                <w:rFonts w:ascii="宋体" w:hAnsi="宋体"/>
                <w:szCs w:val="21"/>
              </w:rPr>
            </w:pPr>
          </w:p>
        </w:tc>
      </w:tr>
      <w:tr w:rsidR="003C1FA2" w:rsidTr="00E43ABD">
        <w:trPr>
          <w:trHeight w:val="476"/>
          <w:jc w:val="center"/>
        </w:trPr>
        <w:tc>
          <w:tcPr>
            <w:tcW w:w="1409" w:type="dxa"/>
            <w:vMerge/>
          </w:tcPr>
          <w:p w:rsidR="003C1FA2" w:rsidRDefault="003C1FA2">
            <w:pPr>
              <w:jc w:val="center"/>
            </w:pPr>
          </w:p>
        </w:tc>
        <w:tc>
          <w:tcPr>
            <w:tcW w:w="1701" w:type="dxa"/>
            <w:vMerge/>
          </w:tcPr>
          <w:p w:rsidR="003C1FA2" w:rsidRDefault="003C1FA2">
            <w:pPr>
              <w:jc w:val="center"/>
            </w:pPr>
          </w:p>
        </w:tc>
        <w:tc>
          <w:tcPr>
            <w:tcW w:w="2637" w:type="dxa"/>
            <w:vAlign w:val="center"/>
          </w:tcPr>
          <w:p w:rsidR="003C1FA2" w:rsidRDefault="003C1FA2" w:rsidP="00A67A0B">
            <w:pPr>
              <w:jc w:val="center"/>
              <w:rPr>
                <w:rFonts w:ascii="宋体" w:hAnsi="宋体"/>
                <w:b/>
                <w:szCs w:val="21"/>
              </w:rPr>
            </w:pPr>
            <w:r>
              <w:rPr>
                <w:rFonts w:ascii="Arial" w:hAnsi="Arial" w:cs="Arial"/>
                <w:color w:val="000000"/>
                <w:kern w:val="0"/>
                <w:sz w:val="20"/>
                <w:szCs w:val="20"/>
              </w:rPr>
              <w:t>图论</w:t>
            </w:r>
            <w:r>
              <w:rPr>
                <w:rFonts w:ascii="宋体" w:hAnsi="宋体" w:hint="eastAsia"/>
                <w:color w:val="000000"/>
                <w:szCs w:val="21"/>
              </w:rPr>
              <w:t>与组合</w:t>
            </w:r>
          </w:p>
        </w:tc>
        <w:tc>
          <w:tcPr>
            <w:tcW w:w="2126" w:type="dxa"/>
            <w:vMerge/>
          </w:tcPr>
          <w:p w:rsidR="003C1FA2" w:rsidRDefault="003C1FA2">
            <w:pPr>
              <w:jc w:val="center"/>
              <w:rPr>
                <w:rFonts w:ascii="宋体" w:hAnsi="宋体"/>
                <w:b/>
                <w:szCs w:val="21"/>
              </w:rPr>
            </w:pPr>
          </w:p>
        </w:tc>
      </w:tr>
      <w:tr w:rsidR="003C1FA2" w:rsidTr="00E43ABD">
        <w:trPr>
          <w:trHeight w:val="476"/>
          <w:jc w:val="center"/>
        </w:trPr>
        <w:tc>
          <w:tcPr>
            <w:tcW w:w="1409" w:type="dxa"/>
            <w:vMerge/>
          </w:tcPr>
          <w:p w:rsidR="003C1FA2" w:rsidRDefault="003C1FA2">
            <w:pPr>
              <w:jc w:val="center"/>
              <w:rPr>
                <w:rFonts w:ascii="宋体" w:hAnsi="宋体"/>
                <w:b/>
                <w:szCs w:val="21"/>
              </w:rPr>
            </w:pPr>
          </w:p>
        </w:tc>
        <w:tc>
          <w:tcPr>
            <w:tcW w:w="1701" w:type="dxa"/>
            <w:vMerge/>
          </w:tcPr>
          <w:p w:rsidR="003C1FA2" w:rsidRDefault="003C1FA2">
            <w:pPr>
              <w:jc w:val="center"/>
              <w:rPr>
                <w:rFonts w:ascii="宋体" w:hAnsi="宋体"/>
                <w:b/>
                <w:szCs w:val="21"/>
              </w:rPr>
            </w:pPr>
          </w:p>
        </w:tc>
        <w:tc>
          <w:tcPr>
            <w:tcW w:w="2637" w:type="dxa"/>
            <w:vAlign w:val="center"/>
          </w:tcPr>
          <w:p w:rsidR="003C1FA2" w:rsidRDefault="003C1FA2" w:rsidP="00A67A0B">
            <w:pPr>
              <w:jc w:val="center"/>
              <w:rPr>
                <w:rFonts w:ascii="宋体" w:hAnsi="宋体"/>
                <w:b/>
                <w:szCs w:val="21"/>
              </w:rPr>
            </w:pPr>
            <w:r>
              <w:rPr>
                <w:rFonts w:ascii="Arial" w:hAnsi="Arial" w:cs="Arial"/>
                <w:color w:val="000000"/>
                <w:kern w:val="0"/>
                <w:sz w:val="20"/>
                <w:szCs w:val="20"/>
              </w:rPr>
              <w:t>微分方程</w:t>
            </w:r>
            <w:r>
              <w:rPr>
                <w:rFonts w:ascii="Arial" w:hAnsi="Arial" w:cs="Arial" w:hint="eastAsia"/>
                <w:color w:val="000000"/>
                <w:kern w:val="0"/>
                <w:sz w:val="20"/>
                <w:szCs w:val="20"/>
              </w:rPr>
              <w:t>及其应用</w:t>
            </w:r>
          </w:p>
        </w:tc>
        <w:tc>
          <w:tcPr>
            <w:tcW w:w="2126" w:type="dxa"/>
            <w:vMerge/>
          </w:tcPr>
          <w:p w:rsidR="003C1FA2" w:rsidRDefault="003C1FA2">
            <w:pPr>
              <w:jc w:val="center"/>
              <w:rPr>
                <w:rFonts w:ascii="宋体" w:hAnsi="宋体"/>
                <w:b/>
                <w:szCs w:val="21"/>
              </w:rPr>
            </w:pPr>
          </w:p>
        </w:tc>
      </w:tr>
      <w:tr w:rsidR="003C1FA2" w:rsidTr="00E43ABD">
        <w:trPr>
          <w:trHeight w:val="476"/>
          <w:jc w:val="center"/>
        </w:trPr>
        <w:tc>
          <w:tcPr>
            <w:tcW w:w="1409" w:type="dxa"/>
            <w:vMerge/>
          </w:tcPr>
          <w:p w:rsidR="003C1FA2" w:rsidRDefault="003C1FA2">
            <w:pPr>
              <w:jc w:val="center"/>
              <w:rPr>
                <w:rFonts w:ascii="宋体" w:hAnsi="宋体"/>
                <w:b/>
                <w:szCs w:val="21"/>
              </w:rPr>
            </w:pPr>
          </w:p>
        </w:tc>
        <w:tc>
          <w:tcPr>
            <w:tcW w:w="1701" w:type="dxa"/>
            <w:vMerge/>
          </w:tcPr>
          <w:p w:rsidR="003C1FA2" w:rsidRDefault="003C1FA2">
            <w:pPr>
              <w:jc w:val="center"/>
              <w:rPr>
                <w:rFonts w:ascii="宋体" w:hAnsi="宋体"/>
                <w:b/>
                <w:szCs w:val="21"/>
              </w:rPr>
            </w:pPr>
          </w:p>
        </w:tc>
        <w:tc>
          <w:tcPr>
            <w:tcW w:w="2637" w:type="dxa"/>
            <w:vAlign w:val="center"/>
          </w:tcPr>
          <w:p w:rsidR="003C1FA2" w:rsidRDefault="003C1FA2" w:rsidP="00A67A0B">
            <w:pPr>
              <w:jc w:val="center"/>
              <w:rPr>
                <w:rFonts w:ascii="宋体" w:hAnsi="宋体"/>
                <w:b/>
                <w:szCs w:val="21"/>
              </w:rPr>
            </w:pPr>
            <w:r>
              <w:rPr>
                <w:rFonts w:ascii="宋体" w:hAnsi="宋体" w:hint="eastAsia"/>
                <w:color w:val="000000"/>
                <w:szCs w:val="21"/>
              </w:rPr>
              <w:t>统计与金融计算</w:t>
            </w:r>
          </w:p>
        </w:tc>
        <w:tc>
          <w:tcPr>
            <w:tcW w:w="2126" w:type="dxa"/>
            <w:vMerge/>
          </w:tcPr>
          <w:p w:rsidR="003C1FA2" w:rsidRDefault="003C1FA2">
            <w:pPr>
              <w:jc w:val="center"/>
              <w:rPr>
                <w:rFonts w:ascii="宋体" w:hAnsi="宋体"/>
                <w:b/>
                <w:szCs w:val="21"/>
              </w:rPr>
            </w:pPr>
          </w:p>
        </w:tc>
      </w:tr>
      <w:tr w:rsidR="003C1FA2" w:rsidTr="00E43ABD">
        <w:trPr>
          <w:trHeight w:val="476"/>
          <w:jc w:val="center"/>
        </w:trPr>
        <w:tc>
          <w:tcPr>
            <w:tcW w:w="1409" w:type="dxa"/>
            <w:vMerge/>
          </w:tcPr>
          <w:p w:rsidR="003C1FA2" w:rsidRDefault="003C1FA2">
            <w:pPr>
              <w:jc w:val="center"/>
              <w:rPr>
                <w:rFonts w:ascii="宋体" w:hAnsi="宋体"/>
                <w:b/>
                <w:szCs w:val="21"/>
              </w:rPr>
            </w:pPr>
          </w:p>
        </w:tc>
        <w:tc>
          <w:tcPr>
            <w:tcW w:w="1701" w:type="dxa"/>
            <w:vMerge/>
          </w:tcPr>
          <w:p w:rsidR="003C1FA2" w:rsidRDefault="003C1FA2">
            <w:pPr>
              <w:jc w:val="center"/>
              <w:rPr>
                <w:rFonts w:ascii="宋体" w:hAnsi="宋体"/>
                <w:b/>
                <w:szCs w:val="21"/>
              </w:rPr>
            </w:pPr>
          </w:p>
        </w:tc>
        <w:tc>
          <w:tcPr>
            <w:tcW w:w="2637" w:type="dxa"/>
            <w:vAlign w:val="center"/>
          </w:tcPr>
          <w:p w:rsidR="003C1FA2" w:rsidRDefault="003C1FA2" w:rsidP="00A67A0B">
            <w:pPr>
              <w:jc w:val="center"/>
              <w:rPr>
                <w:rFonts w:ascii="宋体" w:hAnsi="宋体"/>
                <w:b/>
                <w:szCs w:val="21"/>
              </w:rPr>
            </w:pPr>
            <w:r>
              <w:rPr>
                <w:rFonts w:ascii="Arial" w:hAnsi="Arial" w:cs="Arial" w:hint="eastAsia"/>
                <w:color w:val="000000"/>
                <w:kern w:val="0"/>
                <w:sz w:val="20"/>
                <w:szCs w:val="20"/>
              </w:rPr>
              <w:t>代数与符号计算</w:t>
            </w:r>
          </w:p>
        </w:tc>
        <w:tc>
          <w:tcPr>
            <w:tcW w:w="2126" w:type="dxa"/>
            <w:vMerge/>
          </w:tcPr>
          <w:p w:rsidR="003C1FA2" w:rsidRDefault="003C1FA2">
            <w:pPr>
              <w:jc w:val="center"/>
              <w:rPr>
                <w:rFonts w:ascii="宋体" w:hAnsi="宋体"/>
                <w:b/>
                <w:szCs w:val="21"/>
              </w:rPr>
            </w:pPr>
          </w:p>
        </w:tc>
      </w:tr>
    </w:tbl>
    <w:p w:rsidR="00A67A0B" w:rsidRDefault="00A67A0B">
      <w:pPr>
        <w:rPr>
          <w:rFonts w:ascii="宋体" w:hAnsi="宋体"/>
          <w:b/>
          <w:sz w:val="24"/>
        </w:rPr>
      </w:pPr>
    </w:p>
    <w:p w:rsidR="00824713" w:rsidRPr="00220675" w:rsidRDefault="00824713" w:rsidP="00232DAF">
      <w:pPr>
        <w:spacing w:line="440" w:lineRule="exact"/>
        <w:ind w:firstLineChars="200" w:firstLine="482"/>
        <w:rPr>
          <w:rFonts w:asciiTheme="majorEastAsia" w:eastAsiaTheme="majorEastAsia" w:hAnsiTheme="majorEastAsia"/>
          <w:b/>
          <w:sz w:val="24"/>
        </w:rPr>
      </w:pPr>
      <w:r w:rsidRPr="00220675">
        <w:rPr>
          <w:rFonts w:asciiTheme="majorEastAsia" w:eastAsiaTheme="majorEastAsia" w:hAnsiTheme="majorEastAsia" w:hint="eastAsia"/>
          <w:b/>
          <w:sz w:val="24"/>
        </w:rPr>
        <w:t>四、推免生接收</w:t>
      </w:r>
    </w:p>
    <w:p w:rsidR="00B20D85" w:rsidRDefault="00952DBA" w:rsidP="00232DAF">
      <w:pPr>
        <w:spacing w:line="440" w:lineRule="exact"/>
        <w:ind w:firstLineChars="200" w:firstLine="480"/>
        <w:rPr>
          <w:rFonts w:asciiTheme="minorEastAsia" w:hAnsiTheme="minorEastAsia" w:hint="eastAsia"/>
          <w:sz w:val="24"/>
        </w:rPr>
      </w:pPr>
      <w:r>
        <w:rPr>
          <w:rFonts w:asciiTheme="minorEastAsia" w:hAnsiTheme="minorEastAsia" w:hint="eastAsia"/>
          <w:sz w:val="24"/>
        </w:rPr>
        <w:t>我院接收</w:t>
      </w:r>
      <w:r w:rsidRPr="00952DBA">
        <w:rPr>
          <w:rFonts w:asciiTheme="minorEastAsia" w:hAnsiTheme="minorEastAsia" w:hint="eastAsia"/>
          <w:sz w:val="24"/>
        </w:rPr>
        <w:t>推免</w:t>
      </w:r>
      <w:r>
        <w:rPr>
          <w:rFonts w:asciiTheme="minorEastAsia" w:hAnsiTheme="minorEastAsia" w:hint="eastAsia"/>
          <w:sz w:val="24"/>
        </w:rPr>
        <w:t>硕士</w:t>
      </w:r>
      <w:r w:rsidRPr="00952DBA">
        <w:rPr>
          <w:rFonts w:asciiTheme="minorEastAsia" w:hAnsiTheme="minorEastAsia" w:hint="eastAsia"/>
          <w:sz w:val="24"/>
        </w:rPr>
        <w:t>生，</w:t>
      </w:r>
      <w:r w:rsidR="00824713" w:rsidRPr="00A67A0B">
        <w:rPr>
          <w:rFonts w:asciiTheme="minorEastAsia" w:hAnsiTheme="minorEastAsia" w:hint="eastAsia"/>
          <w:sz w:val="24"/>
        </w:rPr>
        <w:t>具体规定详见《湖南科技大学</w:t>
      </w:r>
      <w:r w:rsidR="00824713" w:rsidRPr="00A67A0B">
        <w:rPr>
          <w:rFonts w:asciiTheme="minorEastAsia" w:hAnsiTheme="minorEastAsia"/>
          <w:sz w:val="24"/>
        </w:rPr>
        <w:t>2018年接收优秀应届本科毕业生免试攻读硕士研究生的通知</w:t>
      </w:r>
      <w:r w:rsidR="00824713" w:rsidRPr="00A67A0B">
        <w:rPr>
          <w:rFonts w:asciiTheme="minorEastAsia" w:hAnsiTheme="minorEastAsia" w:hint="eastAsia"/>
          <w:sz w:val="24"/>
        </w:rPr>
        <w:t>》</w:t>
      </w:r>
      <w:r w:rsidR="00B20D85">
        <w:rPr>
          <w:rFonts w:asciiTheme="minorEastAsia" w:hAnsiTheme="minorEastAsia" w:hint="eastAsia"/>
          <w:sz w:val="24"/>
        </w:rPr>
        <w:t>。</w:t>
      </w:r>
    </w:p>
    <w:p w:rsidR="00824713" w:rsidRPr="00A67A0B" w:rsidRDefault="00B20D85" w:rsidP="00B20D85">
      <w:pPr>
        <w:spacing w:line="440" w:lineRule="exact"/>
        <w:ind w:firstLineChars="200" w:firstLine="480"/>
        <w:rPr>
          <w:rFonts w:asciiTheme="minorEastAsia" w:hAnsiTheme="minorEastAsia"/>
          <w:sz w:val="24"/>
        </w:rPr>
      </w:pPr>
      <w:r>
        <w:rPr>
          <w:rFonts w:asciiTheme="minorEastAsia" w:hAnsiTheme="minorEastAsia" w:hint="eastAsia"/>
          <w:sz w:val="24"/>
        </w:rPr>
        <w:t>网址：</w:t>
      </w:r>
      <w:hyperlink r:id="rId10" w:history="1">
        <w:r w:rsidR="00824713" w:rsidRPr="00A67A0B">
          <w:rPr>
            <w:rFonts w:asciiTheme="minorEastAsia" w:hAnsiTheme="minorEastAsia"/>
            <w:sz w:val="24"/>
          </w:rPr>
          <w:t>http://graduate.hnust.cn/web/news_more.asp?id=3509</w:t>
        </w:r>
      </w:hyperlink>
    </w:p>
    <w:p w:rsidR="00824713" w:rsidRDefault="00824713" w:rsidP="00232DAF">
      <w:pPr>
        <w:spacing w:line="440" w:lineRule="exact"/>
        <w:ind w:firstLineChars="200" w:firstLine="420"/>
        <w:rPr>
          <w:color w:val="000000"/>
          <w:szCs w:val="21"/>
        </w:rPr>
      </w:pPr>
    </w:p>
    <w:p w:rsidR="008854A4" w:rsidRPr="00220675" w:rsidRDefault="00824713" w:rsidP="00232DAF">
      <w:pPr>
        <w:spacing w:line="440" w:lineRule="exact"/>
        <w:ind w:firstLineChars="200" w:firstLine="482"/>
        <w:rPr>
          <w:rFonts w:asciiTheme="majorEastAsia" w:eastAsiaTheme="majorEastAsia" w:hAnsiTheme="majorEastAsia"/>
          <w:b/>
          <w:sz w:val="24"/>
        </w:rPr>
      </w:pPr>
      <w:r w:rsidRPr="00220675">
        <w:rPr>
          <w:rFonts w:asciiTheme="majorEastAsia" w:eastAsiaTheme="majorEastAsia" w:hAnsiTheme="majorEastAsia" w:hint="eastAsia"/>
          <w:b/>
          <w:sz w:val="24"/>
        </w:rPr>
        <w:t>五</w:t>
      </w:r>
      <w:r w:rsidR="00527674" w:rsidRPr="00220675">
        <w:rPr>
          <w:rFonts w:asciiTheme="majorEastAsia" w:eastAsiaTheme="majorEastAsia" w:hAnsiTheme="majorEastAsia" w:hint="eastAsia"/>
          <w:b/>
          <w:sz w:val="24"/>
        </w:rPr>
        <w:t>、联系方式</w:t>
      </w:r>
    </w:p>
    <w:p w:rsidR="008854A4" w:rsidRPr="00A67A0B" w:rsidRDefault="00527674" w:rsidP="00232DAF">
      <w:pPr>
        <w:pStyle w:val="a3"/>
        <w:shd w:val="clear" w:color="auto" w:fill="FFFFFF"/>
        <w:spacing w:before="0" w:beforeAutospacing="0" w:after="0" w:afterAutospacing="0" w:line="440" w:lineRule="exact"/>
        <w:ind w:firstLineChars="250" w:firstLine="600"/>
        <w:jc w:val="both"/>
        <w:rPr>
          <w:rFonts w:asciiTheme="minorEastAsia" w:hAnsiTheme="minorEastAsia" w:cstheme="minorBidi"/>
          <w:kern w:val="2"/>
        </w:rPr>
      </w:pPr>
      <w:r w:rsidRPr="00A67A0B">
        <w:rPr>
          <w:rFonts w:asciiTheme="minorEastAsia" w:hAnsiTheme="minorEastAsia" w:cstheme="minorBidi" w:hint="eastAsia"/>
          <w:kern w:val="2"/>
        </w:rPr>
        <w:t>地址：湖南省湘潭市雨湖区桃园路湖南科技大学数学与计算学院A203室</w:t>
      </w:r>
    </w:p>
    <w:p w:rsidR="00B259EB" w:rsidRPr="00A67A0B" w:rsidRDefault="00B259EB" w:rsidP="00232DAF">
      <w:pPr>
        <w:pStyle w:val="a3"/>
        <w:shd w:val="clear" w:color="auto" w:fill="FFFFFF"/>
        <w:spacing w:before="0" w:beforeAutospacing="0" w:after="0" w:afterAutospacing="0" w:line="440" w:lineRule="exact"/>
        <w:ind w:firstLineChars="250" w:firstLine="600"/>
        <w:jc w:val="both"/>
        <w:rPr>
          <w:rFonts w:asciiTheme="minorEastAsia" w:hAnsiTheme="minorEastAsia" w:cstheme="minorBidi"/>
          <w:kern w:val="2"/>
        </w:rPr>
      </w:pPr>
      <w:r w:rsidRPr="00A67A0B">
        <w:rPr>
          <w:rFonts w:asciiTheme="minorEastAsia" w:hAnsiTheme="minorEastAsia" w:cstheme="minorBidi" w:hint="eastAsia"/>
          <w:kern w:val="2"/>
        </w:rPr>
        <w:t>联系人：陈老师(18673295372)</w:t>
      </w:r>
    </w:p>
    <w:p w:rsidR="00B259EB" w:rsidRPr="00A67A0B" w:rsidRDefault="00B259EB" w:rsidP="00232DAF">
      <w:pPr>
        <w:pStyle w:val="a3"/>
        <w:shd w:val="clear" w:color="auto" w:fill="FFFFFF"/>
        <w:spacing w:before="0" w:beforeAutospacing="0" w:after="0" w:afterAutospacing="0" w:line="440" w:lineRule="exact"/>
        <w:ind w:firstLineChars="250" w:firstLine="600"/>
        <w:jc w:val="both"/>
        <w:rPr>
          <w:rFonts w:asciiTheme="minorEastAsia" w:hAnsiTheme="minorEastAsia" w:cstheme="minorBidi"/>
          <w:kern w:val="2"/>
        </w:rPr>
      </w:pPr>
      <w:r w:rsidRPr="00A67A0B">
        <w:rPr>
          <w:rFonts w:asciiTheme="minorEastAsia" w:hAnsiTheme="minorEastAsia" w:cstheme="minorBidi" w:hint="eastAsia"/>
          <w:kern w:val="2"/>
        </w:rPr>
        <w:t>邮箱：</w:t>
      </w:r>
      <w:hyperlink r:id="rId11" w:history="1">
        <w:r w:rsidRPr="00A67A0B">
          <w:rPr>
            <w:rFonts w:asciiTheme="minorEastAsia" w:hAnsiTheme="minorEastAsia" w:cstheme="minorBidi" w:hint="eastAsia"/>
            <w:kern w:val="2"/>
          </w:rPr>
          <w:t>371927950@qq.com</w:t>
        </w:r>
      </w:hyperlink>
    </w:p>
    <w:p w:rsidR="008854A4" w:rsidRPr="00A67A0B" w:rsidRDefault="00527674" w:rsidP="00232DAF">
      <w:pPr>
        <w:pStyle w:val="a3"/>
        <w:shd w:val="clear" w:color="auto" w:fill="FFFFFF"/>
        <w:spacing w:before="0" w:beforeAutospacing="0" w:after="0" w:afterAutospacing="0" w:line="440" w:lineRule="exact"/>
        <w:ind w:firstLineChars="250" w:firstLine="600"/>
        <w:jc w:val="both"/>
        <w:rPr>
          <w:rFonts w:asciiTheme="minorEastAsia" w:hAnsiTheme="minorEastAsia" w:cstheme="minorBidi"/>
          <w:kern w:val="2"/>
        </w:rPr>
      </w:pPr>
      <w:r w:rsidRPr="00A67A0B">
        <w:rPr>
          <w:rFonts w:asciiTheme="minorEastAsia" w:hAnsiTheme="minorEastAsia" w:cstheme="minorBidi" w:hint="eastAsia"/>
          <w:kern w:val="2"/>
        </w:rPr>
        <w:t>邮编：411201</w:t>
      </w:r>
    </w:p>
    <w:p w:rsidR="008854A4" w:rsidRDefault="008854A4">
      <w:pPr>
        <w:rPr>
          <w:color w:val="000000"/>
          <w:szCs w:val="21"/>
        </w:rPr>
      </w:pPr>
    </w:p>
    <w:sectPr w:rsidR="008854A4" w:rsidSect="008854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0AD" w:rsidRDefault="007960AD" w:rsidP="00161622">
      <w:r>
        <w:separator/>
      </w:r>
    </w:p>
  </w:endnote>
  <w:endnote w:type="continuationSeparator" w:id="1">
    <w:p w:rsidR="007960AD" w:rsidRDefault="007960AD" w:rsidP="00161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
    <w:panose1 w:val="00000000000000000000"/>
    <w:charset w:val="86"/>
    <w:family w:val="swiss"/>
    <w:notTrueType/>
    <w:pitch w:val="default"/>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0AD" w:rsidRDefault="007960AD" w:rsidP="00161622">
      <w:r>
        <w:separator/>
      </w:r>
    </w:p>
  </w:footnote>
  <w:footnote w:type="continuationSeparator" w:id="1">
    <w:p w:rsidR="007960AD" w:rsidRDefault="007960AD" w:rsidP="00161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BA50"/>
    <w:multiLevelType w:val="singleLevel"/>
    <w:tmpl w:val="59B0BA50"/>
    <w:lvl w:ilvl="0">
      <w:start w:val="2"/>
      <w:numFmt w:val="decimal"/>
      <w:suff w:val="space"/>
      <w:lvlText w:val="%1."/>
      <w:lvlJc w:val="left"/>
    </w:lvl>
  </w:abstractNum>
  <w:abstractNum w:abstractNumId="1">
    <w:nsid w:val="59B16C06"/>
    <w:multiLevelType w:val="singleLevel"/>
    <w:tmpl w:val="59B16C06"/>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B33FE1"/>
    <w:rsid w:val="00081EEB"/>
    <w:rsid w:val="000F1ECC"/>
    <w:rsid w:val="00161622"/>
    <w:rsid w:val="00220675"/>
    <w:rsid w:val="00232DAF"/>
    <w:rsid w:val="003907D1"/>
    <w:rsid w:val="003A4010"/>
    <w:rsid w:val="003C1FA2"/>
    <w:rsid w:val="00526DE0"/>
    <w:rsid w:val="00527674"/>
    <w:rsid w:val="00591357"/>
    <w:rsid w:val="007601B8"/>
    <w:rsid w:val="007960AD"/>
    <w:rsid w:val="007A533F"/>
    <w:rsid w:val="008122C7"/>
    <w:rsid w:val="00824713"/>
    <w:rsid w:val="008854A4"/>
    <w:rsid w:val="00952DBA"/>
    <w:rsid w:val="00A67A0B"/>
    <w:rsid w:val="00B20D85"/>
    <w:rsid w:val="00B259EB"/>
    <w:rsid w:val="00BB26F5"/>
    <w:rsid w:val="00BC465E"/>
    <w:rsid w:val="00C77633"/>
    <w:rsid w:val="00CE3C3F"/>
    <w:rsid w:val="00D53665"/>
    <w:rsid w:val="00E11E47"/>
    <w:rsid w:val="00E43ABD"/>
    <w:rsid w:val="00E54218"/>
    <w:rsid w:val="00EB6396"/>
    <w:rsid w:val="0FB33FE1"/>
    <w:rsid w:val="40B25645"/>
    <w:rsid w:val="43027493"/>
    <w:rsid w:val="58C260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4A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854A4"/>
    <w:pPr>
      <w:keepNext/>
      <w:keepLines/>
      <w:spacing w:line="576" w:lineRule="auto"/>
      <w:outlineLvl w:val="0"/>
    </w:pPr>
    <w:rPr>
      <w:b/>
      <w:kern w:val="44"/>
      <w:sz w:val="44"/>
    </w:rPr>
  </w:style>
  <w:style w:type="paragraph" w:styleId="2">
    <w:name w:val="heading 2"/>
    <w:basedOn w:val="a"/>
    <w:next w:val="a"/>
    <w:unhideWhenUsed/>
    <w:qFormat/>
    <w:rsid w:val="008854A4"/>
    <w:pPr>
      <w:keepNext/>
      <w:keepLines/>
      <w:spacing w:line="413" w:lineRule="auto"/>
      <w:outlineLvl w:val="1"/>
    </w:pPr>
    <w:rPr>
      <w:rFonts w:ascii="Arial" w:eastAsia="黑体" w:hAnsi="Arial"/>
      <w:b/>
      <w:sz w:val="32"/>
    </w:rPr>
  </w:style>
  <w:style w:type="paragraph" w:styleId="3">
    <w:name w:val="heading 3"/>
    <w:basedOn w:val="a"/>
    <w:next w:val="a"/>
    <w:unhideWhenUsed/>
    <w:qFormat/>
    <w:rsid w:val="008854A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854A4"/>
    <w:pPr>
      <w:widowControl/>
      <w:spacing w:before="100" w:beforeAutospacing="1" w:after="100" w:afterAutospacing="1"/>
      <w:jc w:val="left"/>
    </w:pPr>
    <w:rPr>
      <w:rFonts w:ascii="宋体" w:hAnsi="宋体" w:cs="宋体"/>
      <w:kern w:val="0"/>
      <w:sz w:val="24"/>
    </w:rPr>
  </w:style>
  <w:style w:type="character" w:styleId="a4">
    <w:name w:val="Strong"/>
    <w:basedOn w:val="a0"/>
    <w:qFormat/>
    <w:rsid w:val="008854A4"/>
    <w:rPr>
      <w:b/>
      <w:bCs/>
    </w:rPr>
  </w:style>
  <w:style w:type="table" w:styleId="a5">
    <w:name w:val="Table Grid"/>
    <w:basedOn w:val="a1"/>
    <w:rsid w:val="008854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161622"/>
    <w:rPr>
      <w:sz w:val="18"/>
      <w:szCs w:val="18"/>
    </w:rPr>
  </w:style>
  <w:style w:type="character" w:customStyle="1" w:styleId="Char">
    <w:name w:val="批注框文本 Char"/>
    <w:basedOn w:val="a0"/>
    <w:link w:val="a6"/>
    <w:rsid w:val="00161622"/>
    <w:rPr>
      <w:rFonts w:asciiTheme="minorHAnsi" w:eastAsiaTheme="minorEastAsia" w:hAnsiTheme="minorHAnsi" w:cstheme="minorBidi"/>
      <w:kern w:val="2"/>
      <w:sz w:val="18"/>
      <w:szCs w:val="18"/>
    </w:rPr>
  </w:style>
  <w:style w:type="paragraph" w:styleId="a7">
    <w:name w:val="header"/>
    <w:basedOn w:val="a"/>
    <w:link w:val="Char0"/>
    <w:rsid w:val="00161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61622"/>
    <w:rPr>
      <w:rFonts w:asciiTheme="minorHAnsi" w:eastAsiaTheme="minorEastAsia" w:hAnsiTheme="minorHAnsi" w:cstheme="minorBidi"/>
      <w:kern w:val="2"/>
      <w:sz w:val="18"/>
      <w:szCs w:val="18"/>
    </w:rPr>
  </w:style>
  <w:style w:type="paragraph" w:styleId="a8">
    <w:name w:val="footer"/>
    <w:basedOn w:val="a"/>
    <w:link w:val="Char1"/>
    <w:rsid w:val="00161622"/>
    <w:pPr>
      <w:tabs>
        <w:tab w:val="center" w:pos="4153"/>
        <w:tab w:val="right" w:pos="8306"/>
      </w:tabs>
      <w:snapToGrid w:val="0"/>
      <w:jc w:val="left"/>
    </w:pPr>
    <w:rPr>
      <w:sz w:val="18"/>
      <w:szCs w:val="18"/>
    </w:rPr>
  </w:style>
  <w:style w:type="character" w:customStyle="1" w:styleId="Char1">
    <w:name w:val="页脚 Char"/>
    <w:basedOn w:val="a0"/>
    <w:link w:val="a8"/>
    <w:rsid w:val="00161622"/>
    <w:rPr>
      <w:rFonts w:asciiTheme="minorHAnsi" w:eastAsiaTheme="minorEastAsia" w:hAnsiTheme="minorHAnsi" w:cstheme="minorBidi"/>
      <w:kern w:val="2"/>
      <w:sz w:val="18"/>
      <w:szCs w:val="18"/>
    </w:rPr>
  </w:style>
  <w:style w:type="character" w:styleId="a9">
    <w:name w:val="Hyperlink"/>
    <w:basedOn w:val="a0"/>
    <w:rsid w:val="00B259EB"/>
    <w:rPr>
      <w:color w:val="0563C1" w:themeColor="hyperlink"/>
      <w:u w:val="single"/>
    </w:rPr>
  </w:style>
  <w:style w:type="paragraph" w:customStyle="1" w:styleId="Default">
    <w:name w:val="Default"/>
    <w:rsid w:val="00CE3C3F"/>
    <w:pPr>
      <w:widowControl w:val="0"/>
      <w:autoSpaceDE w:val="0"/>
      <w:autoSpaceDN w:val="0"/>
      <w:adjustRightInd w:val="0"/>
    </w:pPr>
    <w:rPr>
      <w:rFonts w:ascii="FangSong" w:eastAsia="FangSong" w:cs="FangSong"/>
      <w:color w:val="000000"/>
      <w:sz w:val="24"/>
      <w:szCs w:val="24"/>
    </w:rPr>
  </w:style>
  <w:style w:type="paragraph" w:styleId="aa">
    <w:name w:val="List Paragraph"/>
    <w:basedOn w:val="a"/>
    <w:uiPriority w:val="99"/>
    <w:unhideWhenUsed/>
    <w:rsid w:val="00A67A0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71927950@qq.com" TargetMode="External"/><Relationship Id="rId5" Type="http://schemas.openxmlformats.org/officeDocument/2006/relationships/webSettings" Target="webSettings.xml"/><Relationship Id="rId10" Type="http://schemas.openxmlformats.org/officeDocument/2006/relationships/hyperlink" Target="http://graduate.hnust.cn/web/news_more.asp?id=3509"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12</cp:revision>
  <dcterms:created xsi:type="dcterms:W3CDTF">2017-09-07T02:53:00Z</dcterms:created>
  <dcterms:modified xsi:type="dcterms:W3CDTF">2017-09-27T10:15:00Z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